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43807" w14:textId="2F86638C" w:rsidR="00D66BEB" w:rsidRDefault="00E1478A">
      <w:bookmarkStart w:id="0" w:name="_Hlk219366541"/>
      <w:r>
        <w:t>Good morning</w:t>
      </w:r>
      <w:r w:rsidR="00874F21">
        <w:t xml:space="preserve"> c</w:t>
      </w:r>
      <w:r>
        <w:t>ardholders,</w:t>
      </w:r>
    </w:p>
    <w:p w14:paraId="28D988FA" w14:textId="3C689CF0" w:rsidR="00E1478A" w:rsidRDefault="00E1478A"/>
    <w:p w14:paraId="4599B66A" w14:textId="0A24B92C" w:rsidR="002411E5" w:rsidRDefault="00E1478A">
      <w:r>
        <w:t xml:space="preserve">Happy January! </w:t>
      </w:r>
      <w:r w:rsidR="002411E5">
        <w:t xml:space="preserve">This </w:t>
      </w:r>
      <w:proofErr w:type="spellStart"/>
      <w:r w:rsidR="002411E5">
        <w:t>month’s notice</w:t>
      </w:r>
      <w:proofErr w:type="spellEnd"/>
      <w:r w:rsidR="002411E5">
        <w:t xml:space="preserve"> to cardholders covers Merchant Category Codes and Jaggaer Catalog Vendors.</w:t>
      </w:r>
    </w:p>
    <w:p w14:paraId="61F5542B" w14:textId="77777777" w:rsidR="002411E5" w:rsidRPr="002411E5" w:rsidRDefault="007A659E" w:rsidP="002411E5">
      <w:r>
        <w:pict w14:anchorId="3F16950E">
          <v:rect id="_x0000_i1026" style="width:0;height:1.5pt" o:hralign="center" o:hrstd="t" o:hr="t" fillcolor="#a0a0a0" stroked="f"/>
        </w:pict>
      </w:r>
    </w:p>
    <w:p w14:paraId="0AECE4C9" w14:textId="1B6032CA" w:rsidR="002411E5" w:rsidRDefault="002411E5" w:rsidP="002411E5">
      <w:pPr>
        <w:rPr>
          <w:b/>
          <w:bCs/>
        </w:rPr>
      </w:pPr>
      <w:r w:rsidRPr="002411E5">
        <w:rPr>
          <w:b/>
          <w:bCs/>
        </w:rPr>
        <w:t>How Your University Card Works</w:t>
      </w:r>
      <w:r w:rsidR="008310D4">
        <w:rPr>
          <w:b/>
          <w:bCs/>
        </w:rPr>
        <w:t xml:space="preserve"> &amp; </w:t>
      </w:r>
      <w:proofErr w:type="gramStart"/>
      <w:r w:rsidR="008310D4">
        <w:rPr>
          <w:b/>
          <w:bCs/>
        </w:rPr>
        <w:t>MCCs</w:t>
      </w:r>
      <w:proofErr w:type="gramEnd"/>
    </w:p>
    <w:p w14:paraId="1BAAD981" w14:textId="4B40BA39" w:rsidR="002411E5" w:rsidRPr="002411E5" w:rsidRDefault="002411E5" w:rsidP="002411E5">
      <w:r w:rsidRPr="002411E5">
        <w:br/>
        <w:t xml:space="preserve">Each card type has restrictions </w:t>
      </w:r>
      <w:r w:rsidR="00E26C6C">
        <w:t>built in based</w:t>
      </w:r>
      <w:r w:rsidRPr="002411E5">
        <w:t xml:space="preserve"> on its intended purpose, including </w:t>
      </w:r>
      <w:r w:rsidRPr="002411E5">
        <w:rPr>
          <w:b/>
          <w:bCs/>
        </w:rPr>
        <w:t>Merchant Category Codes (MCCs)</w:t>
      </w:r>
      <w:r w:rsidRPr="002411E5">
        <w:t>:</w:t>
      </w:r>
    </w:p>
    <w:p w14:paraId="0466E237" w14:textId="6FA55D1D" w:rsidR="002411E5" w:rsidRPr="002411E5" w:rsidRDefault="002411E5" w:rsidP="002411E5">
      <w:pPr>
        <w:numPr>
          <w:ilvl w:val="0"/>
          <w:numId w:val="1"/>
        </w:numPr>
      </w:pPr>
      <w:r w:rsidRPr="002411E5">
        <w:rPr>
          <w:b/>
          <w:bCs/>
        </w:rPr>
        <w:t>PCards</w:t>
      </w:r>
      <w:r w:rsidRPr="002411E5">
        <w:t>: Tangible goods</w:t>
      </w:r>
    </w:p>
    <w:p w14:paraId="7A00FBDE" w14:textId="79DA67E9" w:rsidR="002411E5" w:rsidRPr="002411E5" w:rsidRDefault="002411E5" w:rsidP="002411E5">
      <w:pPr>
        <w:numPr>
          <w:ilvl w:val="0"/>
          <w:numId w:val="1"/>
        </w:numPr>
      </w:pPr>
      <w:r w:rsidRPr="002411E5">
        <w:rPr>
          <w:b/>
          <w:bCs/>
        </w:rPr>
        <w:t>Travel Cards</w:t>
      </w:r>
      <w:r w:rsidRPr="002411E5">
        <w:t xml:space="preserve">: Travel-related expenses </w:t>
      </w:r>
      <w:r w:rsidR="00A2434A">
        <w:t xml:space="preserve">and </w:t>
      </w:r>
      <w:r w:rsidRPr="002411E5">
        <w:t>food</w:t>
      </w:r>
    </w:p>
    <w:p w14:paraId="12CB7414" w14:textId="6593356D" w:rsidR="002411E5" w:rsidRDefault="002411E5" w:rsidP="002411E5">
      <w:r w:rsidRPr="002411E5">
        <w:t xml:space="preserve">Certain MCCs are restricted by default. If an MCC is restricted, the transaction will </w:t>
      </w:r>
      <w:r w:rsidRPr="002411E5">
        <w:rPr>
          <w:b/>
          <w:bCs/>
        </w:rPr>
        <w:t>decline automatically</w:t>
      </w:r>
      <w:r w:rsidRPr="002411E5">
        <w:t>.</w:t>
      </w:r>
      <w:r w:rsidR="00710A69">
        <w:t xml:space="preserve"> If your card declines, </w:t>
      </w:r>
      <w:r w:rsidR="00710A69">
        <w:rPr>
          <w:rStyle w:val="Strong"/>
        </w:rPr>
        <w:t>call JP Morgan first</w:t>
      </w:r>
      <w:r w:rsidR="00710A69">
        <w:t xml:space="preserve"> using the number on the back of your card to determine the cause. Do not </w:t>
      </w:r>
      <w:r w:rsidR="00F220EB">
        <w:t>repeatedly retry the charge when purchasing goods, and do not use a personal card</w:t>
      </w:r>
      <w:r w:rsidR="00710A69">
        <w:t>.</w:t>
      </w:r>
    </w:p>
    <w:p w14:paraId="2CD66443" w14:textId="77777777" w:rsidR="00710A69" w:rsidRDefault="002411E5" w:rsidP="002411E5">
      <w:r>
        <w:t>There are thousands of MCCs, and many related to conference registrations, publications, and events use restricted MCCs.</w:t>
      </w:r>
      <w:r w:rsidR="00A2434A">
        <w:t xml:space="preserve"> </w:t>
      </w:r>
    </w:p>
    <w:p w14:paraId="2B6AC549" w14:textId="7986562B" w:rsidR="002411E5" w:rsidRPr="002411E5" w:rsidRDefault="002411E5" w:rsidP="002411E5">
      <w:r w:rsidRPr="002411E5">
        <w:t xml:space="preserve">If a purchase is </w:t>
      </w:r>
      <w:r w:rsidRPr="002411E5">
        <w:rPr>
          <w:b/>
          <w:bCs/>
        </w:rPr>
        <w:t>appropriate for the card type being used</w:t>
      </w:r>
      <w:r w:rsidRPr="002411E5">
        <w:t xml:space="preserve"> and complies with University purchasing requirements (for example, it is not a restricted item and is within applicable limits), you may submit an </w:t>
      </w:r>
      <w:r w:rsidRPr="002411E5">
        <w:rPr>
          <w:b/>
          <w:bCs/>
        </w:rPr>
        <w:t>MCC request</w:t>
      </w:r>
      <w:r w:rsidRPr="002411E5">
        <w:t xml:space="preserve"> </w:t>
      </w:r>
      <w:r>
        <w:t xml:space="preserve">to </w:t>
      </w:r>
      <w:r w:rsidR="00710A69">
        <w:t xml:space="preserve">temporarily </w:t>
      </w:r>
      <w:r>
        <w:t>expand the allowable MCCs on your specific card</w:t>
      </w:r>
      <w:r w:rsidRPr="002411E5">
        <w:t>.</w:t>
      </w:r>
    </w:p>
    <w:p w14:paraId="3A1F3ED0" w14:textId="77777777" w:rsidR="002411E5" w:rsidRPr="002411E5" w:rsidRDefault="002411E5" w:rsidP="002411E5">
      <w:r w:rsidRPr="002411E5">
        <w:rPr>
          <w:b/>
          <w:bCs/>
        </w:rPr>
        <w:t>Important details about MCC requests:</w:t>
      </w:r>
    </w:p>
    <w:p w14:paraId="5BB97B5E" w14:textId="23736A3A" w:rsidR="002411E5" w:rsidRPr="002411E5" w:rsidRDefault="002411E5" w:rsidP="002411E5">
      <w:pPr>
        <w:numPr>
          <w:ilvl w:val="0"/>
          <w:numId w:val="3"/>
        </w:numPr>
      </w:pPr>
      <w:r w:rsidRPr="002411E5">
        <w:t>Requests are</w:t>
      </w:r>
      <w:r>
        <w:t xml:space="preserve"> always temporary and</w:t>
      </w:r>
      <w:r w:rsidRPr="002411E5">
        <w:t xml:space="preserve"> for a </w:t>
      </w:r>
      <w:r w:rsidRPr="002411E5">
        <w:rPr>
          <w:b/>
          <w:bCs/>
        </w:rPr>
        <w:t xml:space="preserve">3–5 </w:t>
      </w:r>
      <w:r w:rsidR="00A2434A">
        <w:rPr>
          <w:b/>
          <w:bCs/>
        </w:rPr>
        <w:t xml:space="preserve">business </w:t>
      </w:r>
      <w:r w:rsidRPr="002411E5">
        <w:rPr>
          <w:b/>
          <w:bCs/>
        </w:rPr>
        <w:t>day period</w:t>
      </w:r>
    </w:p>
    <w:p w14:paraId="35BC724F" w14:textId="77777777" w:rsidR="00B7612C" w:rsidRDefault="002411E5" w:rsidP="00B7612C">
      <w:pPr>
        <w:numPr>
          <w:ilvl w:val="0"/>
          <w:numId w:val="3"/>
        </w:numPr>
      </w:pPr>
      <w:r w:rsidRPr="002411E5">
        <w:t xml:space="preserve">The process is </w:t>
      </w:r>
      <w:r w:rsidRPr="002411E5">
        <w:rPr>
          <w:b/>
          <w:bCs/>
        </w:rPr>
        <w:t>not automated</w:t>
      </w:r>
      <w:r w:rsidRPr="002411E5">
        <w:t xml:space="preserve"> — the request must </w:t>
      </w:r>
      <w:r w:rsidR="00B7612C">
        <w:t>be fully approved and processed</w:t>
      </w:r>
      <w:r>
        <w:t xml:space="preserve">. </w:t>
      </w:r>
    </w:p>
    <w:p w14:paraId="0DCF614C" w14:textId="4415E15D" w:rsidR="002411E5" w:rsidRDefault="00B7612C" w:rsidP="00B7612C">
      <w:pPr>
        <w:numPr>
          <w:ilvl w:val="0"/>
          <w:numId w:val="3"/>
        </w:numPr>
      </w:pPr>
      <w:r>
        <w:t>You</w:t>
      </w:r>
      <w:r w:rsidR="002411E5" w:rsidRPr="002411E5">
        <w:t xml:space="preserve"> will receive a </w:t>
      </w:r>
      <w:r w:rsidR="002411E5" w:rsidRPr="002411E5">
        <w:rPr>
          <w:b/>
          <w:bCs/>
        </w:rPr>
        <w:t>direct email</w:t>
      </w:r>
      <w:r w:rsidR="002411E5" w:rsidRPr="002411E5">
        <w:t xml:space="preserve"> confirming the active timeframe</w:t>
      </w:r>
      <w:r>
        <w:t>, during which you should retry your purchase.</w:t>
      </w:r>
    </w:p>
    <w:p w14:paraId="7A3E1938" w14:textId="73EDC379" w:rsidR="00C16744" w:rsidRDefault="000D740B" w:rsidP="00C16744">
      <w:pPr>
        <w:numPr>
          <w:ilvl w:val="0"/>
          <w:numId w:val="3"/>
        </w:numPr>
      </w:pPr>
      <w:r>
        <w:t xml:space="preserve">Requests need to include the </w:t>
      </w:r>
      <w:r>
        <w:rPr>
          <w:b/>
          <w:bCs/>
        </w:rPr>
        <w:t xml:space="preserve">merchant, dollar amount, what is being purchased, a detailed business purpose, </w:t>
      </w:r>
      <w:r w:rsidRPr="00B7612C">
        <w:t>and</w:t>
      </w:r>
      <w:r>
        <w:rPr>
          <w:b/>
          <w:bCs/>
        </w:rPr>
        <w:t xml:space="preserve"> the MCC </w:t>
      </w:r>
      <w:r w:rsidR="00573AF4" w:rsidRPr="00B7612C">
        <w:t>provided by JPMorgan</w:t>
      </w:r>
      <w:r w:rsidR="00573AF4">
        <w:rPr>
          <w:b/>
          <w:bCs/>
        </w:rPr>
        <w:t xml:space="preserve">. </w:t>
      </w:r>
      <w:r w:rsidR="00573AF4">
        <w:t>The more information you provide about the purchase, the easier it is to process your request. Requests without sufficient information will be returned so you can provide more information.</w:t>
      </w:r>
    </w:p>
    <w:p w14:paraId="4582A979" w14:textId="77777777" w:rsidR="00C16744" w:rsidRDefault="007A659E" w:rsidP="00C16744">
      <w:r>
        <w:pict w14:anchorId="371F440E">
          <v:rect id="_x0000_i1027" style="width:0;height:1.5pt" o:hralign="center" o:hrstd="t" o:hr="t" fillcolor="#a0a0a0" stroked="f"/>
        </w:pict>
      </w:r>
    </w:p>
    <w:p w14:paraId="40AC5F5F" w14:textId="77777777" w:rsidR="00C16744" w:rsidRDefault="00C16744" w:rsidP="00C16744">
      <w:pPr>
        <w:rPr>
          <w:b/>
          <w:bCs/>
        </w:rPr>
      </w:pPr>
      <w:r w:rsidRPr="002411E5">
        <w:rPr>
          <w:b/>
          <w:bCs/>
        </w:rPr>
        <w:t>Jaggaer Catalog Vendors</w:t>
      </w:r>
    </w:p>
    <w:p w14:paraId="2FD3A63D" w14:textId="77777777" w:rsidR="00C16744" w:rsidRPr="002411E5" w:rsidRDefault="00C16744" w:rsidP="00C16744">
      <w:r w:rsidRPr="002411E5">
        <w:lastRenderedPageBreak/>
        <w:br/>
      </w:r>
      <w:r>
        <w:t xml:space="preserve">If a vendor has a </w:t>
      </w:r>
      <w:r w:rsidRPr="00F1498E">
        <w:rPr>
          <w:b/>
          <w:bCs/>
        </w:rPr>
        <w:t>catalog</w:t>
      </w:r>
      <w:r>
        <w:t xml:space="preserve"> in Jaggaer, purchases </w:t>
      </w:r>
      <w:r>
        <w:rPr>
          <w:rStyle w:val="Strong"/>
        </w:rPr>
        <w:t>must</w:t>
      </w:r>
      <w:r>
        <w:t xml:space="preserve"> </w:t>
      </w:r>
      <w:r w:rsidRPr="00C16744">
        <w:rPr>
          <w:b/>
          <w:bCs/>
        </w:rPr>
        <w:t>be made through Jaggaer</w:t>
      </w:r>
      <w:r>
        <w:t>—not with a University card.</w:t>
      </w:r>
      <w:r w:rsidRPr="002411E5">
        <w:br/>
        <w:t xml:space="preserve">Common examples include </w:t>
      </w:r>
      <w:r w:rsidRPr="002411E5">
        <w:rPr>
          <w:b/>
          <w:bCs/>
        </w:rPr>
        <w:t>Amazon, Staples, and Lowe’s</w:t>
      </w:r>
      <w:r>
        <w:t>.</w:t>
      </w:r>
    </w:p>
    <w:p w14:paraId="1715B722" w14:textId="2C6FC265" w:rsidR="00C16744" w:rsidRPr="002411E5" w:rsidRDefault="00C16744" w:rsidP="00C16744">
      <w:r w:rsidRPr="002411E5">
        <w:t>Using a University card for these vendors when a Jaggaer catalog is available is not permitted.</w:t>
      </w:r>
      <w:r>
        <w:t xml:space="preserve"> Please reach out to </w:t>
      </w:r>
      <w:hyperlink r:id="rId5" w:history="1">
        <w:r w:rsidRPr="00810ACD">
          <w:rPr>
            <w:rStyle w:val="Hyperlink"/>
          </w:rPr>
          <w:t>Procurement@tcu.edu</w:t>
        </w:r>
      </w:hyperlink>
      <w:r>
        <w:t xml:space="preserve"> with questions or concerns.</w:t>
      </w:r>
    </w:p>
    <w:p w14:paraId="67D465B1" w14:textId="77777777" w:rsidR="002411E5" w:rsidRPr="002411E5" w:rsidRDefault="007A659E" w:rsidP="002411E5">
      <w:r>
        <w:pict w14:anchorId="60610CE1">
          <v:rect id="_x0000_i1028" style="width:0;height:1.5pt" o:hralign="center" o:hrstd="t" o:hr="t" fillcolor="#a0a0a0" stroked="f"/>
        </w:pict>
      </w:r>
    </w:p>
    <w:p w14:paraId="26F5571C" w14:textId="77777777" w:rsidR="00A2434A" w:rsidRDefault="00A2434A" w:rsidP="002411E5"/>
    <w:p w14:paraId="2ABCD726" w14:textId="719C0584" w:rsidR="0000156B" w:rsidRDefault="0000156B" w:rsidP="002411E5">
      <w:r w:rsidRPr="0000156B">
        <w:t>Purchasing processes and card restrictions can be challenging to navigate at times and don’t always fit every situation. Questions are expected, so please reach out if anything needs clarification. Thank you for your continued efforts to follow established processes</w:t>
      </w:r>
      <w:r>
        <w:t>,</w:t>
      </w:r>
      <w:r w:rsidRPr="0000156B">
        <w:t xml:space="preserve"> as </w:t>
      </w:r>
      <w:r>
        <w:t>Procurement streamlines the</w:t>
      </w:r>
      <w:r w:rsidRPr="0000156B">
        <w:t xml:space="preserve"> purchasing procedures and </w:t>
      </w:r>
      <w:r w:rsidR="00FA7724">
        <w:t xml:space="preserve">the </w:t>
      </w:r>
      <w:r w:rsidRPr="0000156B">
        <w:t>University Card program.</w:t>
      </w:r>
    </w:p>
    <w:bookmarkEnd w:id="0"/>
    <w:p w14:paraId="10399F82" w14:textId="77777777" w:rsidR="0000156B" w:rsidRDefault="0000156B" w:rsidP="002411E5"/>
    <w:p w14:paraId="2609FCC7" w14:textId="27433674" w:rsidR="002411E5" w:rsidRDefault="0000156B">
      <w:r>
        <w:t>Thank you,</w:t>
      </w:r>
    </w:p>
    <w:p w14:paraId="4E0D2922" w14:textId="77777777" w:rsidR="007A659E" w:rsidRDefault="007A659E"/>
    <w:p w14:paraId="448DAA89" w14:textId="77777777" w:rsidR="007A659E" w:rsidRPr="007A659E" w:rsidRDefault="007A659E" w:rsidP="007A659E">
      <w:pPr>
        <w:rPr>
          <w:b/>
          <w:bCs/>
          <w:color w:val="7030A0"/>
          <w:sz w:val="40"/>
          <w:szCs w:val="36"/>
        </w:rPr>
      </w:pPr>
      <w:bookmarkStart w:id="1" w:name="_MailAutoSig"/>
      <w:r w:rsidRPr="007A659E">
        <w:rPr>
          <w:b/>
          <w:bCs/>
          <w:color w:val="7030A0"/>
          <w:sz w:val="40"/>
          <w:szCs w:val="36"/>
        </w:rPr>
        <w:t>Mary Grace A. Held</w:t>
      </w:r>
    </w:p>
    <w:p w14:paraId="09D41646" w14:textId="77777777" w:rsidR="007A659E" w:rsidRPr="007A659E" w:rsidRDefault="007A659E" w:rsidP="007A659E">
      <w:pPr>
        <w:rPr>
          <w:b/>
          <w:bCs/>
          <w:i/>
          <w:iCs/>
        </w:rPr>
      </w:pPr>
      <w:r w:rsidRPr="007A659E">
        <w:rPr>
          <w:b/>
          <w:bCs/>
          <w:i/>
          <w:iCs/>
        </w:rPr>
        <w:t>Coordinator for Procurement and Travel Card Programs</w:t>
      </w:r>
    </w:p>
    <w:p w14:paraId="2867405E" w14:textId="77777777" w:rsidR="007A659E" w:rsidRPr="007A659E" w:rsidRDefault="007A659E" w:rsidP="007A659E">
      <w:r w:rsidRPr="007A659E">
        <w:t>Office of Finance and Administration</w:t>
      </w:r>
    </w:p>
    <w:p w14:paraId="1C1D0DD3" w14:textId="77777777" w:rsidR="007A659E" w:rsidRPr="007A659E" w:rsidRDefault="007A659E" w:rsidP="007A659E">
      <w:r w:rsidRPr="007A659E">
        <w:t>Texas Christian University</w:t>
      </w:r>
    </w:p>
    <w:p w14:paraId="588CC35A" w14:textId="0D634700" w:rsidR="0000156B" w:rsidRDefault="007A659E" w:rsidP="007A659E">
      <w:r w:rsidRPr="007A659E">
        <w:t>TCU Box 297041, Fort Worth, TX 76129</w:t>
      </w:r>
      <w:bookmarkEnd w:id="1"/>
    </w:p>
    <w:sectPr w:rsidR="00001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85" style="width:0;height:1.5pt" o:hralign="center" o:bullet="t" o:hrstd="t" o:hr="t" fillcolor="#a0a0a0" stroked="f"/>
    </w:pict>
  </w:numPicBullet>
  <w:abstractNum w:abstractNumId="0" w15:restartNumberingAfterBreak="0">
    <w:nsid w:val="39313BD0"/>
    <w:multiLevelType w:val="multilevel"/>
    <w:tmpl w:val="A9C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E75C5"/>
    <w:multiLevelType w:val="multilevel"/>
    <w:tmpl w:val="A9F2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866E5"/>
    <w:multiLevelType w:val="multilevel"/>
    <w:tmpl w:val="4C56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8A"/>
    <w:rsid w:val="0000156B"/>
    <w:rsid w:val="00085D18"/>
    <w:rsid w:val="000D740B"/>
    <w:rsid w:val="00132C1A"/>
    <w:rsid w:val="002411E5"/>
    <w:rsid w:val="00294AFB"/>
    <w:rsid w:val="00573AF4"/>
    <w:rsid w:val="00686EE0"/>
    <w:rsid w:val="00710A69"/>
    <w:rsid w:val="00760A48"/>
    <w:rsid w:val="007A659E"/>
    <w:rsid w:val="008310D4"/>
    <w:rsid w:val="00874F21"/>
    <w:rsid w:val="00A2434A"/>
    <w:rsid w:val="00B7612C"/>
    <w:rsid w:val="00C16744"/>
    <w:rsid w:val="00CF035A"/>
    <w:rsid w:val="00D66BEB"/>
    <w:rsid w:val="00E1478A"/>
    <w:rsid w:val="00E26C6C"/>
    <w:rsid w:val="00E73B5C"/>
    <w:rsid w:val="00F1498E"/>
    <w:rsid w:val="00F220EB"/>
    <w:rsid w:val="00FA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AB15"/>
  <w15:chartTrackingRefBased/>
  <w15:docId w15:val="{40CDF25E-6D2E-4A3C-A1AE-66F1073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A48"/>
    <w:rPr>
      <w:rFonts w:ascii="Arial" w:hAnsi="Arial"/>
      <w:color w:val="000000" w:themeColor="text1"/>
      <w:sz w:val="24"/>
    </w:rPr>
  </w:style>
  <w:style w:type="paragraph" w:styleId="Heading1">
    <w:name w:val="heading 1"/>
    <w:aliases w:val="H1"/>
    <w:basedOn w:val="Normal"/>
    <w:next w:val="Normal"/>
    <w:link w:val="Heading1Char"/>
    <w:autoRedefine/>
    <w:uiPriority w:val="9"/>
    <w:qFormat/>
    <w:rsid w:val="00760A48"/>
    <w:pPr>
      <w:keepNext/>
      <w:keepLines/>
      <w:spacing w:before="240" w:after="0"/>
      <w:outlineLvl w:val="0"/>
    </w:pPr>
    <w:rPr>
      <w:rFonts w:eastAsiaTheme="majorEastAsia" w:cstheme="majorBidi"/>
      <w:b/>
      <w:color w:val="4D1979"/>
      <w:sz w:val="48"/>
      <w:szCs w:val="32"/>
    </w:rPr>
  </w:style>
  <w:style w:type="paragraph" w:styleId="Heading2">
    <w:name w:val="heading 2"/>
    <w:aliases w:val="H2"/>
    <w:basedOn w:val="Normal"/>
    <w:next w:val="Normal"/>
    <w:link w:val="Heading2Char"/>
    <w:autoRedefine/>
    <w:uiPriority w:val="9"/>
    <w:unhideWhenUsed/>
    <w:qFormat/>
    <w:rsid w:val="00760A48"/>
    <w:pPr>
      <w:keepNext/>
      <w:keepLines/>
      <w:spacing w:before="40" w:after="0"/>
      <w:outlineLvl w:val="1"/>
    </w:pPr>
    <w:rPr>
      <w:rFonts w:eastAsiaTheme="majorEastAsia" w:cstheme="majorBidi"/>
      <w:b/>
      <w:sz w:val="40"/>
      <w:szCs w:val="26"/>
    </w:rPr>
  </w:style>
  <w:style w:type="paragraph" w:styleId="Heading3">
    <w:name w:val="heading 3"/>
    <w:aliases w:val="H3"/>
    <w:basedOn w:val="Normal"/>
    <w:next w:val="Normal"/>
    <w:link w:val="Heading3Char"/>
    <w:autoRedefine/>
    <w:uiPriority w:val="9"/>
    <w:unhideWhenUsed/>
    <w:qFormat/>
    <w:rsid w:val="00760A48"/>
    <w:pPr>
      <w:keepNext/>
      <w:keepLines/>
      <w:spacing w:before="40" w:after="0"/>
      <w:outlineLvl w:val="2"/>
    </w:pPr>
    <w:rPr>
      <w:rFonts w:eastAsiaTheme="majorEastAsia" w:cstheme="majorBidi"/>
      <w:b/>
      <w:color w:val="4D1979"/>
      <w:szCs w:val="24"/>
    </w:rPr>
  </w:style>
  <w:style w:type="paragraph" w:styleId="Heading4">
    <w:name w:val="heading 4"/>
    <w:aliases w:val="H4"/>
    <w:basedOn w:val="Normal"/>
    <w:next w:val="Normal"/>
    <w:link w:val="Heading4Char"/>
    <w:autoRedefine/>
    <w:uiPriority w:val="9"/>
    <w:unhideWhenUsed/>
    <w:qFormat/>
    <w:rsid w:val="00760A48"/>
    <w:pPr>
      <w:keepNext/>
      <w:keepLines/>
      <w:spacing w:before="40" w:after="0"/>
      <w:outlineLvl w:val="3"/>
    </w:pPr>
    <w:rPr>
      <w:rFonts w:eastAsiaTheme="majorEastAsia" w:cstheme="majorBidi"/>
      <w:b/>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760A48"/>
    <w:rPr>
      <w:rFonts w:ascii="Arial" w:eastAsiaTheme="majorEastAsia" w:hAnsi="Arial" w:cstheme="majorBidi"/>
      <w:b/>
      <w:color w:val="4D1979"/>
      <w:sz w:val="48"/>
      <w:szCs w:val="32"/>
    </w:rPr>
  </w:style>
  <w:style w:type="character" w:customStyle="1" w:styleId="Heading2Char">
    <w:name w:val="Heading 2 Char"/>
    <w:aliases w:val="H2 Char"/>
    <w:basedOn w:val="DefaultParagraphFont"/>
    <w:link w:val="Heading2"/>
    <w:uiPriority w:val="9"/>
    <w:rsid w:val="00760A48"/>
    <w:rPr>
      <w:rFonts w:ascii="Arial" w:eastAsiaTheme="majorEastAsia" w:hAnsi="Arial" w:cstheme="majorBidi"/>
      <w:b/>
      <w:color w:val="000000" w:themeColor="text1"/>
      <w:sz w:val="40"/>
      <w:szCs w:val="26"/>
    </w:rPr>
  </w:style>
  <w:style w:type="character" w:customStyle="1" w:styleId="Heading3Char">
    <w:name w:val="Heading 3 Char"/>
    <w:aliases w:val="H3 Char"/>
    <w:basedOn w:val="DefaultParagraphFont"/>
    <w:link w:val="Heading3"/>
    <w:uiPriority w:val="9"/>
    <w:rsid w:val="00760A48"/>
    <w:rPr>
      <w:rFonts w:ascii="Arial" w:eastAsiaTheme="majorEastAsia" w:hAnsi="Arial" w:cstheme="majorBidi"/>
      <w:b/>
      <w:color w:val="4D1979"/>
      <w:sz w:val="24"/>
      <w:szCs w:val="24"/>
    </w:rPr>
  </w:style>
  <w:style w:type="character" w:customStyle="1" w:styleId="Heading4Char">
    <w:name w:val="Heading 4 Char"/>
    <w:aliases w:val="H4 Char"/>
    <w:basedOn w:val="DefaultParagraphFont"/>
    <w:link w:val="Heading4"/>
    <w:uiPriority w:val="9"/>
    <w:rsid w:val="00760A48"/>
    <w:rPr>
      <w:rFonts w:ascii="Arial" w:eastAsiaTheme="majorEastAsia" w:hAnsi="Arial" w:cstheme="majorBidi"/>
      <w:b/>
      <w:i/>
      <w:iCs/>
      <w:color w:val="000000" w:themeColor="text1"/>
      <w:sz w:val="24"/>
    </w:rPr>
  </w:style>
  <w:style w:type="paragraph" w:styleId="ListParagraph">
    <w:name w:val="List Paragraph"/>
    <w:basedOn w:val="Normal"/>
    <w:autoRedefine/>
    <w:uiPriority w:val="34"/>
    <w:qFormat/>
    <w:rsid w:val="00760A48"/>
    <w:pPr>
      <w:ind w:left="720"/>
      <w:contextualSpacing/>
    </w:pPr>
  </w:style>
  <w:style w:type="character" w:styleId="Hyperlink">
    <w:name w:val="Hyperlink"/>
    <w:basedOn w:val="DefaultParagraphFont"/>
    <w:uiPriority w:val="99"/>
    <w:unhideWhenUsed/>
    <w:rsid w:val="002411E5"/>
    <w:rPr>
      <w:color w:val="0563C1" w:themeColor="hyperlink"/>
      <w:u w:val="single"/>
    </w:rPr>
  </w:style>
  <w:style w:type="character" w:styleId="UnresolvedMention">
    <w:name w:val="Unresolved Mention"/>
    <w:basedOn w:val="DefaultParagraphFont"/>
    <w:uiPriority w:val="99"/>
    <w:semiHidden/>
    <w:unhideWhenUsed/>
    <w:rsid w:val="002411E5"/>
    <w:rPr>
      <w:color w:val="605E5C"/>
      <w:shd w:val="clear" w:color="auto" w:fill="E1DFDD"/>
    </w:rPr>
  </w:style>
  <w:style w:type="character" w:styleId="Strong">
    <w:name w:val="Strong"/>
    <w:basedOn w:val="DefaultParagraphFont"/>
    <w:uiPriority w:val="22"/>
    <w:qFormat/>
    <w:rsid w:val="00F14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94288">
      <w:bodyDiv w:val="1"/>
      <w:marLeft w:val="0"/>
      <w:marRight w:val="0"/>
      <w:marTop w:val="0"/>
      <w:marBottom w:val="0"/>
      <w:divBdr>
        <w:top w:val="none" w:sz="0" w:space="0" w:color="auto"/>
        <w:left w:val="none" w:sz="0" w:space="0" w:color="auto"/>
        <w:bottom w:val="none" w:sz="0" w:space="0" w:color="auto"/>
        <w:right w:val="none" w:sz="0" w:space="0" w:color="auto"/>
      </w:divBdr>
    </w:div>
    <w:div w:id="822087539">
      <w:bodyDiv w:val="1"/>
      <w:marLeft w:val="0"/>
      <w:marRight w:val="0"/>
      <w:marTop w:val="0"/>
      <w:marBottom w:val="0"/>
      <w:divBdr>
        <w:top w:val="none" w:sz="0" w:space="0" w:color="auto"/>
        <w:left w:val="none" w:sz="0" w:space="0" w:color="auto"/>
        <w:bottom w:val="none" w:sz="0" w:space="0" w:color="auto"/>
        <w:right w:val="none" w:sz="0" w:space="0" w:color="auto"/>
      </w:divBdr>
      <w:divsChild>
        <w:div w:id="1040015357">
          <w:marLeft w:val="0"/>
          <w:marRight w:val="0"/>
          <w:marTop w:val="0"/>
          <w:marBottom w:val="0"/>
          <w:divBdr>
            <w:top w:val="none" w:sz="0" w:space="0" w:color="auto"/>
            <w:left w:val="none" w:sz="0" w:space="0" w:color="auto"/>
            <w:bottom w:val="none" w:sz="0" w:space="0" w:color="auto"/>
            <w:right w:val="none" w:sz="0" w:space="0" w:color="auto"/>
          </w:divBdr>
        </w:div>
        <w:div w:id="1582909169">
          <w:marLeft w:val="0"/>
          <w:marRight w:val="0"/>
          <w:marTop w:val="0"/>
          <w:marBottom w:val="0"/>
          <w:divBdr>
            <w:top w:val="none" w:sz="0" w:space="0" w:color="auto"/>
            <w:left w:val="none" w:sz="0" w:space="0" w:color="auto"/>
            <w:bottom w:val="none" w:sz="0" w:space="0" w:color="auto"/>
            <w:right w:val="none" w:sz="0" w:space="0" w:color="auto"/>
          </w:divBdr>
        </w:div>
      </w:divsChild>
    </w:div>
    <w:div w:id="945191393">
      <w:bodyDiv w:val="1"/>
      <w:marLeft w:val="0"/>
      <w:marRight w:val="0"/>
      <w:marTop w:val="0"/>
      <w:marBottom w:val="0"/>
      <w:divBdr>
        <w:top w:val="none" w:sz="0" w:space="0" w:color="auto"/>
        <w:left w:val="none" w:sz="0" w:space="0" w:color="auto"/>
        <w:bottom w:val="none" w:sz="0" w:space="0" w:color="auto"/>
        <w:right w:val="none" w:sz="0" w:space="0" w:color="auto"/>
      </w:divBdr>
    </w:div>
    <w:div w:id="1420298045">
      <w:bodyDiv w:val="1"/>
      <w:marLeft w:val="0"/>
      <w:marRight w:val="0"/>
      <w:marTop w:val="0"/>
      <w:marBottom w:val="0"/>
      <w:divBdr>
        <w:top w:val="none" w:sz="0" w:space="0" w:color="auto"/>
        <w:left w:val="none" w:sz="0" w:space="0" w:color="auto"/>
        <w:bottom w:val="none" w:sz="0" w:space="0" w:color="auto"/>
        <w:right w:val="none" w:sz="0" w:space="0" w:color="auto"/>
      </w:divBdr>
      <w:divsChild>
        <w:div w:id="253167156">
          <w:marLeft w:val="0"/>
          <w:marRight w:val="0"/>
          <w:marTop w:val="0"/>
          <w:marBottom w:val="0"/>
          <w:divBdr>
            <w:top w:val="none" w:sz="0" w:space="0" w:color="auto"/>
            <w:left w:val="none" w:sz="0" w:space="0" w:color="auto"/>
            <w:bottom w:val="none" w:sz="0" w:space="0" w:color="auto"/>
            <w:right w:val="none" w:sz="0" w:space="0" w:color="auto"/>
          </w:divBdr>
        </w:div>
        <w:div w:id="180161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tc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 Mary Grace</dc:creator>
  <cp:keywords/>
  <dc:description/>
  <cp:lastModifiedBy>Held, Mary Grace</cp:lastModifiedBy>
  <cp:revision>17</cp:revision>
  <dcterms:created xsi:type="dcterms:W3CDTF">2026-01-08T14:41:00Z</dcterms:created>
  <dcterms:modified xsi:type="dcterms:W3CDTF">2026-01-15T16:51:00Z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ff620a1f-02f4-4bda-85df-b5516abf647c</vt:lpwstr>
  </property>
</Properties>
</file>